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7" w:rsidRPr="00F46239" w:rsidRDefault="00C2324A" w:rsidP="00433E53">
      <w:pPr>
        <w:jc w:val="both"/>
        <w:rPr>
          <w:rFonts w:ascii="AcadNusx" w:hAnsi="AcadNusx"/>
          <w:b/>
          <w:bCs/>
          <w:sz w:val="28"/>
          <w:szCs w:val="28"/>
          <w:lang w:val="es-ES"/>
        </w:rPr>
      </w:pPr>
      <w:r>
        <w:rPr>
          <w:rFonts w:ascii="AcadNusx" w:hAnsi="AcadNusx"/>
          <w:b/>
          <w:bCs/>
          <w:sz w:val="28"/>
          <w:szCs w:val="28"/>
          <w:lang w:val="es-ES"/>
        </w:rPr>
        <w:t xml:space="preserve">                    </w:t>
      </w:r>
      <w:r w:rsidR="009301D7" w:rsidRPr="00F46239">
        <w:rPr>
          <w:rFonts w:ascii="AcadNusx" w:hAnsi="AcadNusx"/>
          <w:b/>
          <w:bCs/>
          <w:sz w:val="28"/>
          <w:szCs w:val="28"/>
          <w:lang w:val="es-ES"/>
        </w:rPr>
        <w:t>ganacxadis forma</w:t>
      </w:r>
    </w:p>
    <w:p w:rsidR="009301D7" w:rsidRPr="006703DC" w:rsidRDefault="009301D7" w:rsidP="00433E53">
      <w:pPr>
        <w:jc w:val="both"/>
        <w:rPr>
          <w:rFonts w:ascii="AcadNusx" w:hAnsi="AcadNusx"/>
          <w:sz w:val="26"/>
          <w:szCs w:val="26"/>
          <w:lang w:val="es-ES"/>
        </w:rPr>
      </w:pPr>
    </w:p>
    <w:p w:rsidR="009301D7" w:rsidRPr="00E347CF" w:rsidRDefault="009301D7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s-ES"/>
        </w:rPr>
      </w:pPr>
      <w:r w:rsidRPr="00E347CF">
        <w:rPr>
          <w:rFonts w:ascii="AcadNusx" w:hAnsi="AcadNusx"/>
          <w:b/>
          <w:lang w:val="es-ES"/>
        </w:rPr>
        <w:t>informacia studentis Sesaxeb</w:t>
      </w:r>
    </w:p>
    <w:p w:rsidR="009301D7" w:rsidRPr="00E347CF" w:rsidRDefault="009301D7" w:rsidP="00433E53">
      <w:pPr>
        <w:spacing w:line="360" w:lineRule="auto"/>
        <w:ind w:left="360"/>
        <w:jc w:val="both"/>
        <w:rPr>
          <w:rFonts w:ascii="AcadNusx" w:hAnsi="AcadNusx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94"/>
      </w:tblGrid>
      <w:tr w:rsidR="009301D7" w:rsidRPr="00286383" w:rsidTr="00286383">
        <w:trPr>
          <w:trHeight w:hRule="exact" w:val="517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s-ES"/>
              </w:rPr>
            </w:pPr>
            <w:r w:rsidRPr="00286383">
              <w:rPr>
                <w:rFonts w:ascii="AcadNusx" w:hAnsi="AcadNusx"/>
                <w:lang w:val="es-ES"/>
              </w:rPr>
              <w:t>saxeli, gvari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s-ES"/>
              </w:rPr>
            </w:pPr>
          </w:p>
        </w:tc>
        <w:tc>
          <w:tcPr>
            <w:tcW w:w="5894" w:type="dxa"/>
            <w:vAlign w:val="center"/>
          </w:tcPr>
          <w:p w:rsidR="009301D7" w:rsidRPr="00433E53" w:rsidRDefault="009301D7" w:rsidP="00433E53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9301D7" w:rsidRPr="00286383" w:rsidTr="00286383">
        <w:trPr>
          <w:trHeight w:hRule="exact" w:val="710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jc w:val="both"/>
              <w:rPr>
                <w:rFonts w:ascii="AcadNusx" w:hAnsi="AcadNusx"/>
                <w:lang w:val="es-ES"/>
              </w:rPr>
            </w:pPr>
            <w:r w:rsidRPr="00286383">
              <w:rPr>
                <w:rFonts w:ascii="AcadNusx" w:hAnsi="AcadNusx"/>
                <w:lang w:val="es-ES"/>
              </w:rPr>
              <w:t>dabadebis TariRi</w:t>
            </w:r>
          </w:p>
          <w:p w:rsidR="009301D7" w:rsidRPr="00286383" w:rsidRDefault="009301D7" w:rsidP="00433E53">
            <w:pPr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s-ES"/>
              </w:rPr>
              <w:t>ricxvi/Tve/weli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lang w:val="en-US"/>
              </w:rPr>
            </w:pPr>
          </w:p>
        </w:tc>
      </w:tr>
      <w:tr w:rsidR="009301D7" w:rsidRPr="00B40F8D" w:rsidTr="00B40F8D">
        <w:trPr>
          <w:trHeight w:hRule="exact" w:val="901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misamarTi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B40F8D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fi-FI"/>
              </w:rPr>
            </w:pPr>
          </w:p>
        </w:tc>
      </w:tr>
      <w:tr w:rsidR="009301D7" w:rsidRPr="00286383" w:rsidTr="00286383">
        <w:trPr>
          <w:trHeight w:hRule="exact" w:val="363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telefonis nomeri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en-US"/>
              </w:rPr>
            </w:pPr>
          </w:p>
        </w:tc>
      </w:tr>
      <w:tr w:rsidR="009301D7" w:rsidRPr="00286383" w:rsidTr="00286383">
        <w:trPr>
          <w:trHeight w:hRule="exact" w:val="358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el-fosta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B40F8D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lang w:val="en-US"/>
              </w:rPr>
            </w:pPr>
          </w:p>
        </w:tc>
      </w:tr>
      <w:tr w:rsidR="009301D7" w:rsidRPr="00B40F8D" w:rsidTr="00286383">
        <w:trPr>
          <w:trHeight w:hRule="exact" w:val="1102"/>
        </w:trPr>
        <w:tc>
          <w:tcPr>
            <w:tcW w:w="3348" w:type="dxa"/>
            <w:vAlign w:val="center"/>
          </w:tcPr>
          <w:p w:rsidR="00286383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umaRlesi saswavlebeli</w:t>
            </w:r>
          </w:p>
          <w:p w:rsidR="009301D7" w:rsidRPr="00286383" w:rsidRDefault="00286383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(bakalavriati)</w:t>
            </w:r>
          </w:p>
          <w:p w:rsidR="00286383" w:rsidRPr="00286383" w:rsidRDefault="00286383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433E53" w:rsidRDefault="009301D7" w:rsidP="00433E53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9301D7" w:rsidRPr="00286383" w:rsidTr="00086540">
        <w:trPr>
          <w:trHeight w:hRule="exact" w:val="874"/>
        </w:trPr>
        <w:tc>
          <w:tcPr>
            <w:tcW w:w="3348" w:type="dxa"/>
            <w:vAlign w:val="center"/>
          </w:tcPr>
          <w:p w:rsidR="009301D7" w:rsidRPr="00286383" w:rsidRDefault="00086540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specializacia da </w:t>
            </w:r>
            <w:r w:rsidR="0009228F">
              <w:rPr>
                <w:rFonts w:ascii="AcadNusx" w:hAnsi="AcadNusx"/>
                <w:lang w:val="en-US"/>
              </w:rPr>
              <w:t>semestri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en-US"/>
              </w:rPr>
            </w:pPr>
          </w:p>
        </w:tc>
      </w:tr>
      <w:tr w:rsidR="009301D7" w:rsidRPr="00286383" w:rsidTr="00286383">
        <w:trPr>
          <w:trHeight w:hRule="exact" w:val="2154"/>
        </w:trPr>
        <w:tc>
          <w:tcPr>
            <w:tcW w:w="3348" w:type="dxa"/>
          </w:tcPr>
          <w:p w:rsidR="009301D7" w:rsidRPr="00B40F8D" w:rsidRDefault="009301D7" w:rsidP="00433E53">
            <w:pPr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samarTlis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dargi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an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dargebi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,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romelSic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gsurT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gaiRrmavoT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codna</w:t>
            </w:r>
          </w:p>
        </w:tc>
        <w:tc>
          <w:tcPr>
            <w:tcW w:w="5894" w:type="dxa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</w:rPr>
            </w:pPr>
            <w:r w:rsidRPr="00B40F8D">
              <w:rPr>
                <w:rFonts w:ascii="AcadNusx" w:hAnsi="AcadNusx"/>
                <w:b/>
                <w:lang w:val="en-US"/>
              </w:rPr>
              <w:t xml:space="preserve"> </w:t>
            </w:r>
          </w:p>
        </w:tc>
      </w:tr>
    </w:tbl>
    <w:p w:rsidR="00433E53" w:rsidRDefault="00433E53" w:rsidP="00433E53">
      <w:pPr>
        <w:spacing w:line="360" w:lineRule="auto"/>
        <w:ind w:left="720"/>
        <w:jc w:val="both"/>
        <w:rPr>
          <w:rFonts w:ascii="AcadNusx" w:hAnsi="AcadNusx"/>
          <w:b/>
          <w:lang w:val="en-US"/>
        </w:rPr>
      </w:pPr>
    </w:p>
    <w:p w:rsidR="009301D7" w:rsidRPr="00323DC2" w:rsidRDefault="00C559C3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klinika, romelSic gsurT saqmianobis dawyeba</w:t>
      </w:r>
    </w:p>
    <w:p w:rsidR="00323DC2" w:rsidRPr="00323DC2" w:rsidRDefault="00086540" w:rsidP="00323DC2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mxolod oc</w:t>
      </w:r>
      <w:r w:rsidR="00323DC2">
        <w:rPr>
          <w:rFonts w:ascii="AcadNusx" w:hAnsi="AcadNusx"/>
          <w:b/>
          <w:lang w:val="en-US"/>
        </w:rPr>
        <w:t xml:space="preserve">kreditiani klinikis gavlis survilis SemTxvevaSi aucileblad miuTiTeT 2 </w:t>
      </w:r>
      <w:r>
        <w:rPr>
          <w:rFonts w:ascii="AcadNusx" w:hAnsi="AcadNusx"/>
          <w:b/>
          <w:lang w:val="en-US"/>
        </w:rPr>
        <w:t xml:space="preserve">ockreditiani </w:t>
      </w:r>
      <w:r w:rsidR="00323DC2">
        <w:rPr>
          <w:rFonts w:ascii="AcadNusx" w:hAnsi="AcadNusx"/>
          <w:b/>
          <w:lang w:val="en-US"/>
        </w:rPr>
        <w:t>klinika prioritetebis mixedviT</w:t>
      </w:r>
      <w:r w:rsidR="00323DC2">
        <w:rPr>
          <w:rFonts w:ascii="Sylfaen" w:hAnsi="Sylfaen"/>
          <w:b/>
          <w:lang w:val="en-US"/>
        </w:rPr>
        <w:t>;</w:t>
      </w:r>
    </w:p>
    <w:p w:rsidR="00323DC2" w:rsidRPr="00323DC2" w:rsidRDefault="00086540" w:rsidP="00323DC2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mxolod aT</w:t>
      </w:r>
      <w:r w:rsidR="00323DC2">
        <w:rPr>
          <w:rFonts w:ascii="AcadNusx" w:hAnsi="AcadNusx"/>
          <w:b/>
          <w:lang w:val="en-US"/>
        </w:rPr>
        <w:t xml:space="preserve">kreditiani klinikis gavlis survilis SemTxvevaSi aucileblad  miuTiTeT 5 </w:t>
      </w:r>
      <w:r>
        <w:rPr>
          <w:rFonts w:ascii="AcadNusx" w:hAnsi="AcadNusx"/>
          <w:b/>
          <w:lang w:val="en-US"/>
        </w:rPr>
        <w:t xml:space="preserve">aTkreditiani </w:t>
      </w:r>
      <w:r w:rsidR="00323DC2">
        <w:rPr>
          <w:rFonts w:ascii="AcadNusx" w:hAnsi="AcadNusx"/>
          <w:b/>
          <w:lang w:val="en-US"/>
        </w:rPr>
        <w:t>klinika prioritetebis mixedviT</w:t>
      </w:r>
      <w:r w:rsidR="00323DC2">
        <w:rPr>
          <w:rFonts w:ascii="Sylfaen" w:hAnsi="Sylfaen"/>
          <w:b/>
          <w:lang w:val="en-US"/>
        </w:rPr>
        <w:t>;</w:t>
      </w:r>
    </w:p>
    <w:p w:rsidR="00323DC2" w:rsidRPr="00086540" w:rsidRDefault="00086540" w:rsidP="00086540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oc</w:t>
      </w:r>
      <w:r w:rsidR="00323DC2">
        <w:rPr>
          <w:rFonts w:ascii="AcadNusx" w:hAnsi="AcadNusx"/>
          <w:b/>
          <w:lang w:val="en-US"/>
        </w:rPr>
        <w:t xml:space="preserve">kreditiani </w:t>
      </w:r>
      <w:r>
        <w:rPr>
          <w:rFonts w:ascii="AcadNusx" w:hAnsi="AcadNusx"/>
          <w:b/>
          <w:lang w:val="en-US"/>
        </w:rPr>
        <w:t>da aT</w:t>
      </w:r>
      <w:r w:rsidR="00323DC2">
        <w:rPr>
          <w:rFonts w:ascii="AcadNusx" w:hAnsi="AcadNusx"/>
          <w:b/>
          <w:lang w:val="en-US"/>
        </w:rPr>
        <w:t xml:space="preserve">kreditiani klinikebis </w:t>
      </w:r>
      <w:r>
        <w:rPr>
          <w:rFonts w:ascii="AcadNusx" w:hAnsi="AcadNusx"/>
          <w:b/>
          <w:lang w:val="en-US"/>
        </w:rPr>
        <w:t>erTd</w:t>
      </w:r>
      <w:r w:rsidR="00323DC2">
        <w:rPr>
          <w:rFonts w:ascii="AcadNusx" w:hAnsi="AcadNusx"/>
          <w:b/>
          <w:lang w:val="en-US"/>
        </w:rPr>
        <w:t>r</w:t>
      </w:r>
      <w:r>
        <w:rPr>
          <w:rFonts w:ascii="AcadNusx" w:hAnsi="AcadNusx"/>
          <w:b/>
          <w:lang w:val="en-US"/>
        </w:rPr>
        <w:t>o</w:t>
      </w:r>
      <w:r w:rsidR="00323DC2">
        <w:rPr>
          <w:rFonts w:ascii="AcadNusx" w:hAnsi="AcadNusx"/>
          <w:b/>
          <w:lang w:val="en-US"/>
        </w:rPr>
        <w:t xml:space="preserve">ulad gavlis survilis SemTxvevaSi aucileblad </w:t>
      </w:r>
      <w:r>
        <w:rPr>
          <w:rFonts w:ascii="AcadNusx" w:hAnsi="AcadNusx"/>
          <w:b/>
          <w:lang w:val="en-US"/>
        </w:rPr>
        <w:t>miuTiTeT 2</w:t>
      </w:r>
      <w:r w:rsidR="00323DC2">
        <w:rPr>
          <w:rFonts w:ascii="AcadNusx" w:hAnsi="AcadNusx"/>
          <w:b/>
          <w:lang w:val="en-US"/>
        </w:rPr>
        <w:t xml:space="preserve"> </w:t>
      </w:r>
      <w:r>
        <w:rPr>
          <w:rFonts w:ascii="AcadNusx" w:hAnsi="AcadNusx"/>
          <w:b/>
          <w:lang w:val="en-US"/>
        </w:rPr>
        <w:t>ockreditiani da 5 aT</w:t>
      </w:r>
      <w:r w:rsidR="00323DC2">
        <w:rPr>
          <w:rFonts w:ascii="AcadNusx" w:hAnsi="AcadNusx"/>
          <w:b/>
          <w:lang w:val="en-US"/>
        </w:rPr>
        <w:t>kreditiani klinika prioritetebis mixedviT</w:t>
      </w:r>
      <w:r w:rsidR="00323DC2">
        <w:rPr>
          <w:rFonts w:ascii="Sylfaen" w:hAnsi="Sylfaen"/>
          <w:b/>
          <w:lang w:val="en-US"/>
        </w:rPr>
        <w:t>;</w:t>
      </w:r>
    </w:p>
    <w:p w:rsidR="00433E53" w:rsidRDefault="00433E53" w:rsidP="00433E53">
      <w:pPr>
        <w:tabs>
          <w:tab w:val="left" w:pos="0"/>
        </w:tabs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cadNusx" w:hAnsi="AcadNusx"/>
          <w:b/>
          <w:lang w:val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33E53" w:rsidRDefault="00433E53" w:rsidP="00433E53">
      <w:p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 xml:space="preserve"> ---------------------------------------------------------------------------------------------------------------------------</w:t>
      </w:r>
    </w:p>
    <w:p w:rsidR="00433E53" w:rsidRPr="00433E53" w:rsidRDefault="00433E53" w:rsidP="00433E53">
      <w:pPr>
        <w:spacing w:line="360" w:lineRule="auto"/>
        <w:jc w:val="both"/>
        <w:rPr>
          <w:rFonts w:ascii="AcadNusx" w:hAnsi="AcadNusx"/>
          <w:b/>
          <w:lang w:val="en-US"/>
        </w:rPr>
      </w:pPr>
    </w:p>
    <w:p w:rsidR="00433E53" w:rsidRPr="00086540" w:rsidRDefault="009301D7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Tqveni motivacia da molodini</w:t>
      </w:r>
      <w:r w:rsidR="00F73E43">
        <w:rPr>
          <w:rFonts w:ascii="AcadNusx" w:hAnsi="AcadNusx"/>
          <w:b/>
          <w:lang w:val="en-US"/>
        </w:rPr>
        <w:t xml:space="preserve"> klinikas</w:t>
      </w:r>
      <w:r w:rsidR="00433E53">
        <w:rPr>
          <w:rFonts w:ascii="AcadNusx" w:hAnsi="AcadNusx"/>
          <w:b/>
          <w:lang w:val="en-US"/>
        </w:rPr>
        <w:t>Tan dakavSirebiT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</w:t>
      </w:r>
      <w:r w:rsidR="00433E53"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</w:t>
      </w:r>
      <w:r>
        <w:rPr>
          <w:rFonts w:ascii="AcadNusx" w:hAnsi="AcadNusx"/>
          <w:b/>
          <w:lang w:val="en-US"/>
        </w:rPr>
        <w:t>--------------------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</w:t>
      </w:r>
      <w:r>
        <w:rPr>
          <w:rFonts w:ascii="AcadNusx" w:hAnsi="AcadNusx"/>
          <w:b/>
          <w:lang w:val="en-US"/>
        </w:rPr>
        <w:t>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----------</w:t>
      </w:r>
      <w:r>
        <w:rPr>
          <w:rFonts w:ascii="AcadNusx" w:hAnsi="AcadNusx"/>
          <w:b/>
          <w:lang w:val="en-US"/>
        </w:rPr>
        <w:t>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Cs/>
          <w:lang w:val="da-DK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01D7" w:rsidRPr="00294012" w:rsidRDefault="009301D7" w:rsidP="00433E53">
      <w:pPr>
        <w:ind w:left="90"/>
        <w:jc w:val="both"/>
        <w:rPr>
          <w:rFonts w:ascii="AcadNusx" w:hAnsi="AcadNusx"/>
          <w:b/>
          <w:bCs/>
          <w:lang w:val="da-DK"/>
        </w:rPr>
      </w:pPr>
      <w:r w:rsidRPr="00294012">
        <w:rPr>
          <w:rFonts w:ascii="AcadNusx" w:hAnsi="AcadNusx"/>
          <w:b/>
          <w:bCs/>
          <w:lang w:val="da-DK"/>
        </w:rPr>
        <w:t>SesarCevi etapebis warmatebiT  gavlis SemTxvevaSi valdebulebas viReb:</w:t>
      </w:r>
    </w:p>
    <w:p w:rsidR="009301D7" w:rsidRPr="000275F6" w:rsidRDefault="009301D7" w:rsidP="00433E53">
      <w:pPr>
        <w:ind w:left="90"/>
        <w:jc w:val="both"/>
        <w:rPr>
          <w:rFonts w:ascii="AcadNusx" w:hAnsi="AcadNusx"/>
          <w:bCs/>
          <w:lang w:val="da-DK"/>
        </w:rPr>
      </w:pPr>
    </w:p>
    <w:p w:rsidR="009301D7" w:rsidRPr="000275F6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0275F6">
        <w:rPr>
          <w:rFonts w:ascii="AcadNusx" w:hAnsi="AcadNusx"/>
          <w:bCs/>
          <w:lang w:val="da-DK"/>
        </w:rPr>
        <w:t>monawileoba miviRo klinikuri swavlebis farglebSi Catarebul specialur seminarebsa da treningebSi;</w:t>
      </w:r>
    </w:p>
    <w:p w:rsidR="00433E53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433E53">
        <w:rPr>
          <w:rFonts w:ascii="AcadNusx" w:hAnsi="AcadNusx"/>
          <w:bCs/>
          <w:lang w:val="da-DK"/>
        </w:rPr>
        <w:t>aqtiuri monawileoba miviRo klinikis muSaobaSi</w:t>
      </w:r>
      <w:r w:rsidR="00433E53">
        <w:rPr>
          <w:rFonts w:ascii="AcadNusx" w:hAnsi="AcadNusx"/>
          <w:bCs/>
          <w:lang w:val="da-DK"/>
        </w:rPr>
        <w:t>;</w:t>
      </w:r>
    </w:p>
    <w:p w:rsidR="009301D7" w:rsidRPr="00433E53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433E53">
        <w:rPr>
          <w:rFonts w:ascii="AcadNusx" w:hAnsi="AcadNusx"/>
          <w:bCs/>
          <w:lang w:val="da-DK"/>
        </w:rPr>
        <w:t>daveswro yvela Sexvedras da keTilsindisierad Sevasrulo programis koordinatoris davalebebi;</w:t>
      </w:r>
    </w:p>
    <w:p w:rsidR="009301D7" w:rsidRPr="000275F6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0275F6">
        <w:rPr>
          <w:rFonts w:ascii="AcadNusx" w:hAnsi="AcadNusx"/>
          <w:bCs/>
          <w:lang w:val="da-DK"/>
        </w:rPr>
        <w:t xml:space="preserve">saqmianobis ganxorcielebisas davicva iuristis saqmianobis </w:t>
      </w:r>
      <w:r>
        <w:rPr>
          <w:rFonts w:ascii="AcadNusx" w:hAnsi="AcadNusx"/>
          <w:bCs/>
          <w:lang w:val="da-DK"/>
        </w:rPr>
        <w:t>eTikuri normebi.</w:t>
      </w:r>
    </w:p>
    <w:p w:rsidR="009301D7" w:rsidRDefault="009301D7" w:rsidP="00433E53">
      <w:pPr>
        <w:ind w:left="360"/>
        <w:jc w:val="both"/>
        <w:rPr>
          <w:rFonts w:ascii="AcadNusx" w:hAnsi="AcadNusx"/>
          <w:bCs/>
          <w:lang w:val="da-DK"/>
        </w:rPr>
      </w:pPr>
    </w:p>
    <w:p w:rsidR="009301D7" w:rsidRPr="00294012" w:rsidRDefault="009301D7" w:rsidP="00433E53">
      <w:pPr>
        <w:ind w:left="360"/>
        <w:jc w:val="both"/>
        <w:rPr>
          <w:rFonts w:ascii="AcadNusx" w:hAnsi="AcadNusx"/>
          <w:b/>
          <w:bCs/>
          <w:lang w:val="da-DK"/>
        </w:rPr>
      </w:pPr>
      <w:r w:rsidRPr="00294012">
        <w:rPr>
          <w:rFonts w:ascii="AcadNusx" w:hAnsi="AcadNusx"/>
          <w:b/>
          <w:bCs/>
          <w:lang w:val="da-DK"/>
        </w:rPr>
        <w:t xml:space="preserve">vacnobiereb, rom aRniSnuli valdebulebebis arajerovani Sesruleba SesaZlebelia gaxdes Cemi klinikidan garicxvis safuZveli. </w:t>
      </w:r>
    </w:p>
    <w:p w:rsidR="009301D7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9301D7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9301D7" w:rsidRPr="000275F6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433E53" w:rsidRDefault="00433E53" w:rsidP="00433E53">
      <w:pPr>
        <w:jc w:val="both"/>
        <w:rPr>
          <w:lang w:val="en-US"/>
        </w:rPr>
      </w:pPr>
    </w:p>
    <w:p w:rsidR="003E5D04" w:rsidRPr="00433E53" w:rsidRDefault="00433E53" w:rsidP="00433E53">
      <w:pPr>
        <w:tabs>
          <w:tab w:val="left" w:pos="6720"/>
        </w:tabs>
        <w:rPr>
          <w:lang w:val="en-US"/>
        </w:rPr>
      </w:pPr>
      <w:r w:rsidRPr="00433E53">
        <w:rPr>
          <w:lang w:val="en-US"/>
        </w:rPr>
        <w:tab/>
      </w:r>
      <w:r>
        <w:rPr>
          <w:lang w:val="en-US"/>
        </w:rPr>
        <w:t>--   --  201</w:t>
      </w:r>
      <w:r w:rsidR="00811643">
        <w:rPr>
          <w:lang w:val="en-US"/>
        </w:rPr>
        <w:t>6</w:t>
      </w:r>
    </w:p>
    <w:sectPr w:rsidR="003E5D04" w:rsidRPr="00433E5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8F" w:rsidRDefault="00E4148F" w:rsidP="00433E53">
      <w:r>
        <w:separator/>
      </w:r>
    </w:p>
  </w:endnote>
  <w:endnote w:type="continuationSeparator" w:id="1">
    <w:p w:rsidR="00E4148F" w:rsidRDefault="00E4148F" w:rsidP="004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8F" w:rsidRDefault="00E4148F" w:rsidP="00433E53">
      <w:r>
        <w:separator/>
      </w:r>
    </w:p>
  </w:footnote>
  <w:footnote w:type="continuationSeparator" w:id="1">
    <w:p w:rsidR="00E4148F" w:rsidRDefault="00E4148F" w:rsidP="0043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6F1"/>
    <w:multiLevelType w:val="hybridMultilevel"/>
    <w:tmpl w:val="DF183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C2BA7"/>
    <w:multiLevelType w:val="hybridMultilevel"/>
    <w:tmpl w:val="AD0C1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57D4A"/>
    <w:multiLevelType w:val="hybridMultilevel"/>
    <w:tmpl w:val="A520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831B1"/>
    <w:multiLevelType w:val="hybridMultilevel"/>
    <w:tmpl w:val="55C0FC2A"/>
    <w:lvl w:ilvl="0" w:tplc="B8228E6C">
      <w:start w:val="2"/>
      <w:numFmt w:val="bullet"/>
      <w:lvlText w:val=""/>
      <w:lvlJc w:val="left"/>
      <w:pPr>
        <w:ind w:left="7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D7"/>
    <w:rsid w:val="00086540"/>
    <w:rsid w:val="0009228F"/>
    <w:rsid w:val="00126181"/>
    <w:rsid w:val="0028584F"/>
    <w:rsid w:val="00286383"/>
    <w:rsid w:val="00294012"/>
    <w:rsid w:val="002A739C"/>
    <w:rsid w:val="00323DC2"/>
    <w:rsid w:val="003360F8"/>
    <w:rsid w:val="00377F70"/>
    <w:rsid w:val="003E5D04"/>
    <w:rsid w:val="00433E53"/>
    <w:rsid w:val="004C0B7F"/>
    <w:rsid w:val="00501540"/>
    <w:rsid w:val="005A6BB0"/>
    <w:rsid w:val="00811643"/>
    <w:rsid w:val="009301D7"/>
    <w:rsid w:val="00955C34"/>
    <w:rsid w:val="009B6AAF"/>
    <w:rsid w:val="00A336D0"/>
    <w:rsid w:val="00A34286"/>
    <w:rsid w:val="00A50372"/>
    <w:rsid w:val="00AC5B89"/>
    <w:rsid w:val="00AD6201"/>
    <w:rsid w:val="00B40F8D"/>
    <w:rsid w:val="00C2324A"/>
    <w:rsid w:val="00C559C3"/>
    <w:rsid w:val="00C92CDB"/>
    <w:rsid w:val="00CA3283"/>
    <w:rsid w:val="00CF5B19"/>
    <w:rsid w:val="00E4148F"/>
    <w:rsid w:val="00F7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D7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40F8D"/>
  </w:style>
  <w:style w:type="character" w:customStyle="1" w:styleId="apple-converted-space">
    <w:name w:val="apple-converted-space"/>
    <w:basedOn w:val="DefaultParagraphFont"/>
    <w:rsid w:val="0028584F"/>
  </w:style>
  <w:style w:type="paragraph" w:styleId="Header">
    <w:name w:val="header"/>
    <w:basedOn w:val="Normal"/>
    <w:link w:val="HeaderChar"/>
    <w:rsid w:val="0043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E5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3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E5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ganacxadis forma</vt:lpstr>
    </vt:vector>
  </TitlesOfParts>
  <Company>INTEL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ganacxadis forma</dc:title>
  <dc:creator>USER</dc:creator>
  <cp:lastModifiedBy>vano khuntsaria</cp:lastModifiedBy>
  <cp:revision>2</cp:revision>
  <dcterms:created xsi:type="dcterms:W3CDTF">2016-09-16T12:28:00Z</dcterms:created>
  <dcterms:modified xsi:type="dcterms:W3CDTF">2016-09-16T12:28:00Z</dcterms:modified>
</cp:coreProperties>
</file>